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3" w:rsidRPr="0084712D" w:rsidRDefault="004065A3">
      <w:pPr>
        <w:pStyle w:val="Heading5"/>
        <w:framePr w:w="344" w:h="549" w:wrap="around" w:x="10165" w:y="3065"/>
        <w:rPr>
          <w:rFonts w:ascii="Tahoma" w:hAnsi="Tahoma" w:cs="Tahoma"/>
          <w:b w:val="0"/>
          <w:bCs/>
          <w:sz w:val="20"/>
        </w:rPr>
      </w:pPr>
      <w:bookmarkStart w:id="0" w:name="R1"/>
      <w:bookmarkEnd w:id="0"/>
    </w:p>
    <w:p w:rsidR="004065A3" w:rsidRPr="0084712D" w:rsidRDefault="004065A3">
      <w:pPr>
        <w:ind w:left="-142" w:firstLine="142"/>
        <w:rPr>
          <w:rFonts w:ascii="Tahoma" w:hAnsi="Tahoma" w:cs="Tahoma"/>
        </w:rPr>
      </w:pPr>
      <w:bookmarkStart w:id="1" w:name="TVRTKA"/>
      <w:bookmarkEnd w:id="1"/>
    </w:p>
    <w:p w:rsidR="004065A3" w:rsidRDefault="004065A3">
      <w:pPr>
        <w:ind w:left="-142" w:firstLine="142"/>
        <w:rPr>
          <w:rFonts w:ascii="Tahoma" w:hAnsi="Tahoma" w:cs="Tahoma"/>
        </w:rPr>
      </w:pPr>
      <w:bookmarkStart w:id="2" w:name="ADRESA"/>
      <w:bookmarkEnd w:id="2"/>
    </w:p>
    <w:p w:rsidR="00646AED" w:rsidRDefault="00646AED">
      <w:pPr>
        <w:ind w:left="-142" w:firstLine="142"/>
        <w:rPr>
          <w:rFonts w:ascii="Tahoma" w:hAnsi="Tahoma" w:cs="Tahoma"/>
        </w:rPr>
      </w:pPr>
    </w:p>
    <w:p w:rsidR="004065A3" w:rsidRPr="0084712D" w:rsidRDefault="004065A3">
      <w:pPr>
        <w:ind w:left="-142" w:firstLine="142"/>
        <w:rPr>
          <w:rFonts w:ascii="Tahoma" w:hAnsi="Tahoma" w:cs="Tahoma"/>
        </w:rPr>
      </w:pPr>
    </w:p>
    <w:p w:rsidR="004065A3" w:rsidRPr="0084712D" w:rsidRDefault="00CB2C3D">
      <w:pPr>
        <w:jc w:val="left"/>
        <w:rPr>
          <w:rFonts w:ascii="Tahoma" w:hAnsi="Tahoma" w:cs="Tahoma"/>
          <w:b/>
          <w:sz w:val="36"/>
        </w:rPr>
      </w:pPr>
      <w:bookmarkStart w:id="3" w:name="BROJRN"/>
      <w:bookmarkEnd w:id="3"/>
      <w:r>
        <w:rPr>
          <w:rFonts w:ascii="Tahoma" w:hAnsi="Tahoma" w:cs="Tahoma"/>
          <w:b/>
          <w:sz w:val="36"/>
        </w:rPr>
        <w:t>Cjenik i uvjeti korištenja sustava fiskalizacije</w:t>
      </w:r>
    </w:p>
    <w:p w:rsidR="004065A3" w:rsidRPr="006C0FFF" w:rsidRDefault="004065A3">
      <w:pPr>
        <w:jc w:val="left"/>
        <w:rPr>
          <w:rFonts w:ascii="Tahoma" w:hAnsi="Tahoma" w:cs="Tahoma"/>
          <w:sz w:val="28"/>
        </w:rPr>
      </w:pPr>
    </w:p>
    <w:p w:rsidR="00EE1DAB" w:rsidRDefault="007209CF" w:rsidP="00EE1DAB">
      <w:pPr>
        <w:tabs>
          <w:tab w:val="left" w:pos="3559"/>
        </w:tabs>
        <w:jc w:val="left"/>
        <w:rPr>
          <w:rFonts w:ascii="Tahoma" w:hAnsi="Tahoma" w:cs="Tahoma"/>
          <w:sz w:val="20"/>
        </w:rPr>
      </w:pPr>
      <w:bookmarkStart w:id="4" w:name="lblIzdavanje"/>
      <w:bookmarkEnd w:id="4"/>
      <w:r>
        <w:rPr>
          <w:rFonts w:ascii="Tahoma" w:hAnsi="Tahoma" w:cs="Tahoma"/>
          <w:sz w:val="20"/>
        </w:rPr>
        <w:t xml:space="preserve">U ovom dokumentu su definirane </w:t>
      </w:r>
      <w:r w:rsidR="00CB2C3D">
        <w:rPr>
          <w:rFonts w:ascii="Tahoma" w:hAnsi="Tahoma" w:cs="Tahoma"/>
          <w:sz w:val="20"/>
        </w:rPr>
        <w:t>cijene i uvjeti korištenja sustava fiskalizacije</w:t>
      </w:r>
      <w:r>
        <w:rPr>
          <w:rFonts w:ascii="Tahoma" w:hAnsi="Tahoma" w:cs="Tahoma"/>
          <w:sz w:val="20"/>
        </w:rPr>
        <w:t>:</w:t>
      </w:r>
    </w:p>
    <w:p w:rsidR="007209CF" w:rsidRDefault="007209CF" w:rsidP="007209CF">
      <w:pPr>
        <w:tabs>
          <w:tab w:val="left" w:pos="3559"/>
        </w:tabs>
        <w:jc w:val="left"/>
        <w:rPr>
          <w:rFonts w:ascii="Tahoma" w:hAnsi="Tahoma" w:cs="Tahoma"/>
          <w:sz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60"/>
        <w:gridCol w:w="5372"/>
        <w:gridCol w:w="1701"/>
        <w:gridCol w:w="1701"/>
      </w:tblGrid>
      <w:tr w:rsidR="00CB2C3D" w:rsidTr="00CB2C3D">
        <w:tc>
          <w:tcPr>
            <w:tcW w:w="860" w:type="dxa"/>
          </w:tcPr>
          <w:p w:rsidR="00CB2C3D" w:rsidRDefault="00CB2C3D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Red.br.</w:t>
            </w:r>
          </w:p>
        </w:tc>
        <w:tc>
          <w:tcPr>
            <w:tcW w:w="5372" w:type="dxa"/>
          </w:tcPr>
          <w:p w:rsidR="00CB2C3D" w:rsidRDefault="00CB2C3D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Opis</w:t>
            </w:r>
          </w:p>
        </w:tc>
        <w:tc>
          <w:tcPr>
            <w:tcW w:w="1701" w:type="dxa"/>
          </w:tcPr>
          <w:p w:rsidR="00CB2C3D" w:rsidRDefault="00CB2C3D" w:rsidP="00CB2C3D">
            <w:pPr>
              <w:tabs>
                <w:tab w:val="left" w:pos="3559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Jedinica mjere</w:t>
            </w:r>
          </w:p>
        </w:tc>
        <w:tc>
          <w:tcPr>
            <w:tcW w:w="1701" w:type="dxa"/>
          </w:tcPr>
          <w:p w:rsidR="00CB2C3D" w:rsidRDefault="00CB2C3D" w:rsidP="00CB2C3D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Iznos</w:t>
            </w:r>
          </w:p>
        </w:tc>
      </w:tr>
      <w:tr w:rsidR="00CB2C3D" w:rsidTr="00CB2C3D">
        <w:tc>
          <w:tcPr>
            <w:tcW w:w="860" w:type="dxa"/>
          </w:tcPr>
          <w:p w:rsidR="00CB2C3D" w:rsidRDefault="00CB2C3D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5372" w:type="dxa"/>
          </w:tcPr>
          <w:p w:rsidR="00CB2C3D" w:rsidRDefault="00CB2C3D" w:rsidP="00CB2C3D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Naknada za fiskalizaciju unutar korištenja aplikacije Fiscus po modelu A </w:t>
            </w:r>
          </w:p>
        </w:tc>
        <w:tc>
          <w:tcPr>
            <w:tcW w:w="1701" w:type="dxa"/>
          </w:tcPr>
          <w:p w:rsidR="00CB2C3D" w:rsidRDefault="00CB2C3D" w:rsidP="00CB2C3D">
            <w:pPr>
              <w:tabs>
                <w:tab w:val="left" w:pos="3559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701" w:type="dxa"/>
          </w:tcPr>
          <w:p w:rsidR="00CB2C3D" w:rsidRDefault="00CB2C3D" w:rsidP="00CB2C3D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15,00 EUR</w:t>
            </w:r>
          </w:p>
        </w:tc>
      </w:tr>
      <w:tr w:rsidR="00CB2C3D" w:rsidTr="00CB2C3D">
        <w:tc>
          <w:tcPr>
            <w:tcW w:w="860" w:type="dxa"/>
          </w:tcPr>
          <w:p w:rsidR="00CB2C3D" w:rsidRDefault="00CB2C3D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5372" w:type="dxa"/>
          </w:tcPr>
          <w:p w:rsidR="00CB2C3D" w:rsidRDefault="00CB2C3D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Naknada za fiskalizaciju unutar korištenja aplikacije Fiscus po modelu B</w:t>
            </w:r>
          </w:p>
        </w:tc>
        <w:tc>
          <w:tcPr>
            <w:tcW w:w="1701" w:type="dxa"/>
          </w:tcPr>
          <w:p w:rsidR="00CB2C3D" w:rsidRDefault="00CB2C3D" w:rsidP="00CB2C3D">
            <w:pPr>
              <w:tabs>
                <w:tab w:val="left" w:pos="3559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701" w:type="dxa"/>
          </w:tcPr>
          <w:p w:rsidR="00CB2C3D" w:rsidRDefault="00CB2C3D" w:rsidP="00CB2C3D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15,00 EUR</w:t>
            </w:r>
          </w:p>
        </w:tc>
      </w:tr>
      <w:tr w:rsidR="00CB2C3D" w:rsidTr="00CB2C3D">
        <w:tc>
          <w:tcPr>
            <w:tcW w:w="860" w:type="dxa"/>
          </w:tcPr>
          <w:p w:rsidR="00CB2C3D" w:rsidRDefault="00CB2C3D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5372" w:type="dxa"/>
          </w:tcPr>
          <w:p w:rsidR="00CB2C3D" w:rsidRDefault="00CB2C3D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Naknada za fiskalizaciju unutar korištenja aplikacije Fiscus po modelu C</w:t>
            </w:r>
          </w:p>
        </w:tc>
        <w:tc>
          <w:tcPr>
            <w:tcW w:w="1701" w:type="dxa"/>
          </w:tcPr>
          <w:p w:rsidR="00CB2C3D" w:rsidRDefault="00CB2C3D" w:rsidP="00CB2C3D">
            <w:pPr>
              <w:tabs>
                <w:tab w:val="left" w:pos="3559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701" w:type="dxa"/>
          </w:tcPr>
          <w:p w:rsidR="00CB2C3D" w:rsidRDefault="00CB2C3D" w:rsidP="00CB2C3D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Bez naknade</w:t>
            </w:r>
          </w:p>
        </w:tc>
      </w:tr>
      <w:tr w:rsidR="00CB2C3D" w:rsidTr="00CB2C3D">
        <w:tc>
          <w:tcPr>
            <w:tcW w:w="860" w:type="dxa"/>
          </w:tcPr>
          <w:p w:rsidR="00CB2C3D" w:rsidRDefault="00CB2C3D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5372" w:type="dxa"/>
          </w:tcPr>
          <w:p w:rsidR="00CB2C3D" w:rsidRDefault="00CB2C3D" w:rsidP="00CB2C3D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 w:rsidRPr="000F7FF8">
              <w:rPr>
                <w:rFonts w:ascii="Tahoma" w:hAnsi="Tahoma" w:cs="Tahoma"/>
                <w:sz w:val="20"/>
              </w:rPr>
              <w:t xml:space="preserve">Naknada za </w:t>
            </w:r>
            <w:r>
              <w:rPr>
                <w:rFonts w:ascii="Tahoma" w:hAnsi="Tahoma" w:cs="Tahoma"/>
                <w:sz w:val="20"/>
              </w:rPr>
              <w:t>fiskalizaciju izvan aplikacije Fiscus</w:t>
            </w:r>
            <w:r w:rsidR="00A20B75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="00A20B75">
              <w:rPr>
                <w:rFonts w:ascii="Tahoma" w:hAnsi="Tahoma" w:cs="Tahoma"/>
                <w:sz w:val="20"/>
              </w:rPr>
              <w:t>mParking</w:t>
            </w:r>
            <w:proofErr w:type="spellEnd"/>
            <w:r w:rsidR="00A20B75">
              <w:rPr>
                <w:rFonts w:ascii="Tahoma" w:hAnsi="Tahoma" w:cs="Tahoma"/>
                <w:sz w:val="20"/>
              </w:rPr>
              <w:t>, Chato, ParkWallet i drugi posebni sustavi)</w:t>
            </w:r>
          </w:p>
        </w:tc>
        <w:tc>
          <w:tcPr>
            <w:tcW w:w="1701" w:type="dxa"/>
          </w:tcPr>
          <w:p w:rsidR="00CB2C3D" w:rsidRDefault="00CB2C3D" w:rsidP="00CB2C3D">
            <w:pPr>
              <w:tabs>
                <w:tab w:val="left" w:pos="3559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701" w:type="dxa"/>
          </w:tcPr>
          <w:p w:rsidR="00CB2C3D" w:rsidRDefault="00CB2C3D" w:rsidP="00CB2C3D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15,00 EUR</w:t>
            </w:r>
          </w:p>
        </w:tc>
      </w:tr>
    </w:tbl>
    <w:p w:rsidR="007209CF" w:rsidRDefault="007209CF" w:rsidP="007209CF">
      <w:pPr>
        <w:tabs>
          <w:tab w:val="left" w:pos="3559"/>
        </w:tabs>
        <w:jc w:val="left"/>
        <w:rPr>
          <w:rFonts w:ascii="Tahoma" w:hAnsi="Tahoma" w:cs="Tahoma"/>
          <w:sz w:val="20"/>
        </w:rPr>
      </w:pPr>
    </w:p>
    <w:p w:rsidR="009C3328" w:rsidRDefault="009C3328" w:rsidP="006C4BD2">
      <w:pPr>
        <w:tabs>
          <w:tab w:val="left" w:pos="3559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 uslugu fiskalizacije računa, prije početka korištenja, </w:t>
      </w:r>
      <w:bookmarkStart w:id="5" w:name="_GoBack"/>
      <w:bookmarkEnd w:id="5"/>
      <w:r>
        <w:rPr>
          <w:rFonts w:ascii="Tahoma" w:hAnsi="Tahoma" w:cs="Tahoma"/>
          <w:sz w:val="20"/>
        </w:rPr>
        <w:t xml:space="preserve">kupac mora dostaviti </w:t>
      </w:r>
      <w:proofErr w:type="spellStart"/>
      <w:r>
        <w:rPr>
          <w:rFonts w:ascii="Tahoma" w:hAnsi="Tahoma" w:cs="Tahoma"/>
          <w:sz w:val="20"/>
        </w:rPr>
        <w:t>fiskalizacijski</w:t>
      </w:r>
      <w:proofErr w:type="spellEnd"/>
      <w:r>
        <w:rPr>
          <w:rFonts w:ascii="Tahoma" w:hAnsi="Tahoma" w:cs="Tahoma"/>
          <w:sz w:val="20"/>
        </w:rPr>
        <w:t xml:space="preserve"> certifikat, korisničku lozinku za certifikat, te </w:t>
      </w:r>
      <w:proofErr w:type="spellStart"/>
      <w:r>
        <w:rPr>
          <w:rFonts w:ascii="Tahoma" w:hAnsi="Tahoma" w:cs="Tahoma"/>
          <w:sz w:val="20"/>
        </w:rPr>
        <w:t>fiskalizacijske</w:t>
      </w:r>
      <w:proofErr w:type="spellEnd"/>
      <w:r>
        <w:rPr>
          <w:rFonts w:ascii="Tahoma" w:hAnsi="Tahoma" w:cs="Tahoma"/>
          <w:sz w:val="20"/>
        </w:rPr>
        <w:t xml:space="preserve"> podatke onako kako je uredio svojim internim aktom (fiskalnu oznaku poslovnog prostora ili poslovnih prostora, fiskalnu oznaku blagajne ili blagajni po poslovnim prostorima). Također potrebno je u korisničkim podacima definirati fiskalne oznake jednog ili više operatera, koji moraju imati OIB i imati odgovarajuće pravo.</w:t>
      </w:r>
    </w:p>
    <w:p w:rsidR="009C3328" w:rsidRDefault="009C3328" w:rsidP="006C4BD2">
      <w:pPr>
        <w:tabs>
          <w:tab w:val="left" w:pos="3559"/>
        </w:tabs>
        <w:rPr>
          <w:rFonts w:ascii="Tahoma" w:hAnsi="Tahoma" w:cs="Tahoma"/>
          <w:sz w:val="20"/>
        </w:rPr>
      </w:pPr>
    </w:p>
    <w:p w:rsidR="006C4BD2" w:rsidRDefault="006C4BD2" w:rsidP="006C4BD2">
      <w:pPr>
        <w:tabs>
          <w:tab w:val="left" w:pos="3559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Mjesečna cijena navedena za </w:t>
      </w:r>
      <w:r>
        <w:rPr>
          <w:rFonts w:ascii="Tahoma" w:hAnsi="Tahoma" w:cs="Tahoma"/>
          <w:sz w:val="20"/>
        </w:rPr>
        <w:t>fiskalizaciju izvan aplikacije Fiscus</w:t>
      </w:r>
      <w:r>
        <w:rPr>
          <w:rFonts w:ascii="Tahoma" w:hAnsi="Tahoma" w:cs="Tahoma"/>
          <w:sz w:val="20"/>
        </w:rPr>
        <w:t xml:space="preserve"> vrijedi godinu dana od početka korištenja usluge (bez obzira na eventualne promjene cjenika) i produžuje se na slijedeću godinu automats</w:t>
      </w:r>
      <w:r>
        <w:rPr>
          <w:rFonts w:ascii="Tahoma" w:hAnsi="Tahoma" w:cs="Tahoma"/>
          <w:sz w:val="20"/>
        </w:rPr>
        <w:t>ki nastavkom korištenja usluge.</w:t>
      </w:r>
    </w:p>
    <w:p w:rsidR="006C4BD2" w:rsidRDefault="006C4BD2" w:rsidP="006C4BD2">
      <w:pPr>
        <w:tabs>
          <w:tab w:val="left" w:pos="3559"/>
        </w:tabs>
        <w:rPr>
          <w:rFonts w:ascii="Tahoma" w:hAnsi="Tahoma" w:cs="Tahoma"/>
          <w:sz w:val="20"/>
        </w:rPr>
      </w:pPr>
    </w:p>
    <w:p w:rsidR="006C4BD2" w:rsidRDefault="006C4BD2" w:rsidP="006C4BD2">
      <w:pPr>
        <w:tabs>
          <w:tab w:val="left" w:pos="3559"/>
        </w:tabs>
        <w:rPr>
          <w:rFonts w:ascii="Tahoma" w:hAnsi="Tahoma" w:cs="Tahoma"/>
          <w:sz w:val="20"/>
        </w:rPr>
      </w:pPr>
      <w:r w:rsidRPr="006C4BD2">
        <w:rPr>
          <w:rFonts w:ascii="Tahoma" w:hAnsi="Tahoma" w:cs="Tahoma"/>
          <w:sz w:val="20"/>
        </w:rPr>
        <w:t xml:space="preserve">Ukoliko kupac želi otkazati </w:t>
      </w:r>
      <w:r>
        <w:rPr>
          <w:rFonts w:ascii="Tahoma" w:hAnsi="Tahoma" w:cs="Tahoma"/>
          <w:sz w:val="20"/>
        </w:rPr>
        <w:t>uslugu fiskalizacije izvan aplikacije Fiscus</w:t>
      </w:r>
      <w:r w:rsidRPr="006C4BD2">
        <w:rPr>
          <w:rFonts w:ascii="Tahoma" w:hAnsi="Tahoma" w:cs="Tahoma"/>
          <w:sz w:val="20"/>
        </w:rPr>
        <w:t xml:space="preserve">, može to učiniti u bilo kojem trenutku, s otkaznim rokom od mjesec dana s dodatkom dana do kraja tako obračunatog mjeseca. Unutar otkaznog roka kupac može koristiti </w:t>
      </w:r>
      <w:r>
        <w:rPr>
          <w:rFonts w:ascii="Tahoma" w:hAnsi="Tahoma" w:cs="Tahoma"/>
          <w:sz w:val="20"/>
        </w:rPr>
        <w:t>uslugu</w:t>
      </w:r>
      <w:r w:rsidRPr="006C4BD2">
        <w:rPr>
          <w:rFonts w:ascii="Tahoma" w:hAnsi="Tahoma" w:cs="Tahoma"/>
          <w:sz w:val="20"/>
        </w:rPr>
        <w:t xml:space="preserve"> na redovan način</w:t>
      </w:r>
      <w:r>
        <w:rPr>
          <w:rFonts w:ascii="Tahoma" w:hAnsi="Tahoma" w:cs="Tahoma"/>
          <w:sz w:val="20"/>
        </w:rPr>
        <w:t>.</w:t>
      </w:r>
    </w:p>
    <w:p w:rsidR="006C4BD2" w:rsidRDefault="006C4BD2" w:rsidP="00614292">
      <w:pPr>
        <w:tabs>
          <w:tab w:val="left" w:pos="3559"/>
        </w:tabs>
        <w:rPr>
          <w:rFonts w:ascii="Tahoma" w:hAnsi="Tahoma" w:cs="Tahoma"/>
          <w:sz w:val="20"/>
        </w:rPr>
      </w:pPr>
    </w:p>
    <w:p w:rsidR="00614292" w:rsidRDefault="00614292" w:rsidP="00614292">
      <w:pPr>
        <w:tabs>
          <w:tab w:val="left" w:pos="3559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Kupac može tražiti i dobiti na uvid ovaj cjenik prije pružanja usluga, ali IPT nije dužan dati ga osobno kupcu</w:t>
      </w:r>
      <w:r w:rsidR="004C049C">
        <w:rPr>
          <w:rFonts w:ascii="Tahoma" w:hAnsi="Tahoma" w:cs="Tahoma"/>
          <w:sz w:val="20"/>
        </w:rPr>
        <w:t xml:space="preserve"> bez prethodnog kupčevog zahtjeva</w:t>
      </w:r>
      <w:r>
        <w:rPr>
          <w:rFonts w:ascii="Tahoma" w:hAnsi="Tahoma" w:cs="Tahoma"/>
          <w:sz w:val="20"/>
        </w:rPr>
        <w:t>, obzirom da je isti objavljen na web stranicama IPT-a.</w:t>
      </w:r>
    </w:p>
    <w:p w:rsidR="00614292" w:rsidRDefault="00614292" w:rsidP="00053EC1">
      <w:pPr>
        <w:tabs>
          <w:tab w:val="left" w:pos="3559"/>
        </w:tabs>
        <w:rPr>
          <w:rFonts w:ascii="Tahoma" w:hAnsi="Tahoma" w:cs="Tahoma"/>
          <w:sz w:val="20"/>
        </w:rPr>
      </w:pPr>
    </w:p>
    <w:p w:rsidR="00614292" w:rsidRDefault="00614292" w:rsidP="00053EC1">
      <w:pPr>
        <w:tabs>
          <w:tab w:val="left" w:pos="3559"/>
        </w:tabs>
        <w:rPr>
          <w:rFonts w:ascii="Tahoma" w:hAnsi="Tahoma" w:cs="Tahoma"/>
          <w:sz w:val="20"/>
        </w:rPr>
      </w:pPr>
    </w:p>
    <w:p w:rsidR="00646AED" w:rsidRDefault="00CB2C3D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 Zagrebu, 01.12</w:t>
      </w:r>
      <w:r w:rsidR="003A0D91">
        <w:rPr>
          <w:rFonts w:ascii="Tahoma" w:hAnsi="Tahoma" w:cs="Tahoma"/>
          <w:sz w:val="20"/>
        </w:rPr>
        <w:t>.2023</w:t>
      </w:r>
    </w:p>
    <w:p w:rsidR="00646AED" w:rsidRDefault="00646AED" w:rsidP="00646AED">
      <w:pPr>
        <w:shd w:val="solid" w:color="FFFFFF" w:fill="FFFFFF"/>
        <w:rPr>
          <w:rFonts w:ascii="Tahoma" w:hAnsi="Tahoma" w:cs="Tahoma"/>
          <w:sz w:val="20"/>
        </w:rPr>
      </w:pPr>
    </w:p>
    <w:p w:rsidR="00637ABC" w:rsidRDefault="00637ABC" w:rsidP="00646AED">
      <w:pPr>
        <w:shd w:val="solid" w:color="FFFFFF" w:fill="FFFFFF"/>
        <w:rPr>
          <w:rFonts w:ascii="Tahoma" w:hAnsi="Tahoma" w:cs="Tahoma"/>
          <w:sz w:val="20"/>
        </w:rPr>
      </w:pPr>
    </w:p>
    <w:p w:rsidR="00637ABC" w:rsidRDefault="00637ABC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6985</wp:posOffset>
            </wp:positionV>
            <wp:extent cx="1818000" cy="1296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PT-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57300" cy="50414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rvoje Rajić potpis transparent (5,5 cm x 2,5 cm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04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BC" w:rsidRDefault="00637ABC" w:rsidP="00646AED">
      <w:pPr>
        <w:shd w:val="solid" w:color="FFFFFF" w:fill="FFFFFF"/>
        <w:rPr>
          <w:rFonts w:ascii="Tahoma" w:hAnsi="Tahoma" w:cs="Tahoma"/>
          <w:sz w:val="20"/>
        </w:rPr>
      </w:pPr>
    </w:p>
    <w:p w:rsidR="00646AED" w:rsidRDefault="00637ABC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</w:t>
      </w:r>
    </w:p>
    <w:p w:rsidR="00646AED" w:rsidRDefault="00646AED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Hrvoje Rajić,</w:t>
      </w:r>
    </w:p>
    <w:p w:rsidR="00646AED" w:rsidRDefault="00646AED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Član Uprave</w:t>
      </w:r>
    </w:p>
    <w:p w:rsidR="00646AED" w:rsidRPr="00884346" w:rsidRDefault="00646AED" w:rsidP="00884346">
      <w:pPr>
        <w:tabs>
          <w:tab w:val="left" w:pos="3559"/>
        </w:tabs>
        <w:rPr>
          <w:rFonts w:ascii="Tahoma" w:hAnsi="Tahoma" w:cs="Tahoma"/>
          <w:sz w:val="20"/>
        </w:rPr>
      </w:pPr>
    </w:p>
    <w:sectPr w:rsidR="00646AED" w:rsidRPr="008843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410" w:right="1134" w:bottom="170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7C" w:rsidRDefault="00371E7C">
      <w:r>
        <w:separator/>
      </w:r>
    </w:p>
  </w:endnote>
  <w:endnote w:type="continuationSeparator" w:id="0">
    <w:p w:rsidR="00371E7C" w:rsidRDefault="0037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FE" w:rsidRDefault="00955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4065A3">
    <w:pPr>
      <w:pStyle w:val="Footer"/>
      <w:spacing w:before="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175D4F">
    <w:r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12065</wp:posOffset>
              </wp:positionH>
              <wp:positionV relativeFrom="paragraph">
                <wp:posOffset>-39370</wp:posOffset>
              </wp:positionV>
              <wp:extent cx="5995035" cy="0"/>
              <wp:effectExtent l="0" t="0" r="0" b="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50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43A01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3.1pt" to="47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iQ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dZ0xuUQUaqdDcXRs3o1W02/O6R02RB14JHi28VAXhYykncpYeMMXLDvvmgGMeTodezT&#10;ubZtgIQOoHOU43KXg589onA4WSwm6dMEI9r7EpL3icY6/5nrFgWjwBJIR2By2jofiJC8Dwn3KL0R&#10;Uka1pUIdsB3N0jRmOC0FC94Q5+xhX0qLTiQMTPxiWeB5DLP6qFhEazhh65vtiZBXG26XKuBBLcDn&#10;Zl0n4sciXazn6/l4MB5N14NxWlWDT5tyPJhustmkeqrKssp+BmrZOG8EY1wFdv10ZuO/U//2Tq5z&#10;dZ/Pex+S9+ixYUC2/0fSUcyg33US9ppddrYXGQYyBt8eT5j4xz3Yj0989QsAAP//AwBQSwMEFAAG&#10;AAgAAAAhAL2z/PvcAAAABwEAAA8AAABkcnMvZG93bnJldi54bWxMj8FOwzAQRO9I/IO1SNxahwiF&#10;NI1TIVBVgbi0ReLqxts4EK/T2G3D37OoBzjOzmj2TbkYXSdOOITWk4K7aQICqfampUbB+3Y5yUGE&#10;qMnozhMq+MYAi+r6qtSF8Wda42kTG8ElFAqtwMbYF1KG2qLTYep7JPb2fnA6shwaaQZ95nLXyTRJ&#10;Mul0S/zB6h6fLNZfm6NToJ9X6/iRp68P7Yt9+9wuDyubH5S6vRkf5yAijvEvDL/4jA4VM+38kUwQ&#10;HesZBxVMshQE27P7jKftLgdZlfI/f/UDAAD//wMAUEsBAi0AFAAGAAgAAAAhALaDOJL+AAAA4QEA&#10;ABMAAAAAAAAAAAAAAAAAAAAAAFtDb250ZW50X1R5cGVzXS54bWxQSwECLQAUAAYACAAAACEAOP0h&#10;/9YAAACUAQAACwAAAAAAAAAAAAAAAAAvAQAAX3JlbHMvLnJlbHNQSwECLQAUAAYACAAAACEAFma4&#10;kBMCAAAqBAAADgAAAAAAAAAAAAAAAAAuAgAAZHJzL2Uyb0RvYy54bWxQSwECLQAUAAYACAAAACEA&#10;vbP8+9wAAAAHAQAADwAAAAAAAAAAAAAAAABtBAAAZHJzL2Rvd25yZXYueG1sUEsFBgAAAAAEAAQA&#10;8wAAAHYFAAAAAA==&#10;" o:allowincell="f" strokeweight="1pt"/>
          </w:pict>
        </mc:Fallback>
      </mc:AlternateContent>
    </w:r>
  </w:p>
  <w:p w:rsidR="004065A3" w:rsidRDefault="00406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7C" w:rsidRDefault="00371E7C">
      <w:r>
        <w:separator/>
      </w:r>
    </w:p>
  </w:footnote>
  <w:footnote w:type="continuationSeparator" w:id="0">
    <w:p w:rsidR="00371E7C" w:rsidRDefault="0037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FE" w:rsidRDefault="00955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4065A3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7AB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175D4F">
    <w:pPr>
      <w:pStyle w:val="Header"/>
      <w:jc w:val="right"/>
    </w:pPr>
    <w:r>
      <w:rPr>
        <w:noProof/>
        <w:sz w:val="20"/>
        <w:lang w:eastAsia="hr-HR"/>
      </w:rPr>
      <w:drawing>
        <wp:inline distT="0" distB="0" distL="0" distR="0">
          <wp:extent cx="1094740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5A3" w:rsidRDefault="004065A3">
    <w:pPr>
      <w:pBdr>
        <w:top w:val="single" w:sz="6" w:space="1" w:color="auto"/>
      </w:pBdr>
      <w:ind w:right="1841"/>
      <w:rPr>
        <w:rFonts w:ascii="Arial" w:hAnsi="Arial"/>
        <w:sz w:val="4"/>
      </w:rPr>
    </w:pPr>
  </w:p>
  <w:p w:rsidR="004065A3" w:rsidRDefault="004065A3">
    <w:pPr>
      <w:tabs>
        <w:tab w:val="right" w:pos="9214"/>
      </w:tabs>
      <w:jc w:val="right"/>
      <w:rPr>
        <w:rFonts w:ascii="Arial" w:hAnsi="Arial"/>
        <w:sz w:val="18"/>
      </w:rPr>
    </w:pPr>
    <w:r>
      <w:rPr>
        <w:rFonts w:ascii="Arial" w:hAnsi="Arial"/>
        <w:sz w:val="18"/>
      </w:rPr>
      <w:t xml:space="preserve">10000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sz w:val="18"/>
          </w:rPr>
          <w:t>Zagreb</w:t>
        </w:r>
      </w:smartTag>
      <w:r>
        <w:rPr>
          <w:rFonts w:ascii="Arial" w:hAnsi="Arial"/>
          <w:sz w:val="18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18"/>
          </w:rPr>
          <w:t>CROATIA</w:t>
        </w:r>
      </w:smartTag>
    </w:smartTag>
  </w:p>
  <w:p w:rsidR="004065A3" w:rsidRDefault="00FF58FF">
    <w:pPr>
      <w:tabs>
        <w:tab w:val="right" w:pos="9214"/>
      </w:tabs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Miramarska 24</w:t>
    </w:r>
  </w:p>
  <w:p w:rsidR="004065A3" w:rsidRDefault="004065A3">
    <w:pPr>
      <w:tabs>
        <w:tab w:val="right" w:pos="9214"/>
      </w:tabs>
      <w:jc w:val="right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tel</w:t>
    </w:r>
    <w:proofErr w:type="spellEnd"/>
    <w:r>
      <w:rPr>
        <w:rFonts w:ascii="Arial" w:hAnsi="Arial"/>
        <w:sz w:val="18"/>
      </w:rPr>
      <w:t xml:space="preserve">: +385 (01) </w:t>
    </w:r>
    <w:r w:rsidR="00FF58FF">
      <w:rPr>
        <w:rFonts w:ascii="Arial" w:hAnsi="Arial"/>
        <w:sz w:val="18"/>
      </w:rPr>
      <w:t>600</w:t>
    </w:r>
    <w:r>
      <w:rPr>
        <w:rFonts w:ascii="Arial" w:hAnsi="Arial"/>
        <w:sz w:val="18"/>
      </w:rPr>
      <w:t xml:space="preserve"> </w:t>
    </w:r>
    <w:r w:rsidR="00FF58FF">
      <w:rPr>
        <w:rFonts w:ascii="Arial" w:hAnsi="Arial"/>
        <w:sz w:val="18"/>
      </w:rPr>
      <w:t>56</w:t>
    </w:r>
    <w:r>
      <w:rPr>
        <w:rFonts w:ascii="Arial" w:hAnsi="Arial"/>
        <w:sz w:val="18"/>
      </w:rPr>
      <w:t xml:space="preserve"> 05</w:t>
    </w:r>
  </w:p>
  <w:p w:rsidR="004065A3" w:rsidRDefault="004065A3">
    <w:pPr>
      <w:pStyle w:val="Head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fax: +385 (01) 6</w:t>
    </w:r>
    <w:r w:rsidR="00FF58FF">
      <w:rPr>
        <w:rFonts w:ascii="Arial" w:hAnsi="Arial"/>
        <w:sz w:val="18"/>
      </w:rPr>
      <w:t>00</w:t>
    </w:r>
    <w:r>
      <w:rPr>
        <w:rFonts w:ascii="Arial" w:hAnsi="Arial"/>
        <w:sz w:val="18"/>
      </w:rPr>
      <w:t xml:space="preserve"> </w:t>
    </w:r>
    <w:r w:rsidR="00FF58FF">
      <w:rPr>
        <w:rFonts w:ascii="Arial" w:hAnsi="Arial"/>
        <w:sz w:val="18"/>
      </w:rPr>
      <w:t>56</w:t>
    </w:r>
    <w:r>
      <w:rPr>
        <w:rFonts w:ascii="Arial" w:hAnsi="Arial"/>
        <w:sz w:val="18"/>
      </w:rPr>
      <w:t xml:space="preserve"> 0</w:t>
    </w:r>
    <w:r w:rsidR="00FF58FF">
      <w:rPr>
        <w:rFonts w:ascii="Arial" w:hAnsi="Arial"/>
        <w:sz w:val="18"/>
      </w:rPr>
      <w:t>6</w:t>
    </w:r>
  </w:p>
  <w:p w:rsidR="004065A3" w:rsidRDefault="004065A3">
    <w:pPr>
      <w:pStyle w:val="Head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http://www.ipt.hr</w:t>
    </w:r>
  </w:p>
  <w:p w:rsidR="004065A3" w:rsidRDefault="004065A3">
    <w:pPr>
      <w:pStyle w:val="Header"/>
      <w:jc w:val="right"/>
      <w:rPr>
        <w:lang w:val="fr-FR"/>
      </w:rPr>
    </w:pPr>
    <w:proofErr w:type="gramStart"/>
    <w:r>
      <w:rPr>
        <w:rFonts w:ascii="Arial" w:hAnsi="Arial"/>
        <w:sz w:val="18"/>
        <w:lang w:val="fr-FR"/>
      </w:rPr>
      <w:t>e-mail</w:t>
    </w:r>
    <w:proofErr w:type="gramEnd"/>
    <w:r>
      <w:rPr>
        <w:rFonts w:ascii="Arial" w:hAnsi="Arial"/>
        <w:sz w:val="18"/>
        <w:lang w:val="fr-FR"/>
      </w:rPr>
      <w:t>: ipt@ipt.hr</w:t>
    </w:r>
  </w:p>
  <w:p w:rsidR="004065A3" w:rsidRDefault="004065A3">
    <w:pPr>
      <w:pStyle w:val="Header"/>
      <w:rPr>
        <w:sz w:val="5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7257"/>
    <w:multiLevelType w:val="hybridMultilevel"/>
    <w:tmpl w:val="8486A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4F"/>
    <w:rsid w:val="00053EC1"/>
    <w:rsid w:val="000C4D8A"/>
    <w:rsid w:val="000F7FF8"/>
    <w:rsid w:val="00175D4F"/>
    <w:rsid w:val="001845BB"/>
    <w:rsid w:val="00266B02"/>
    <w:rsid w:val="003045D9"/>
    <w:rsid w:val="00371E7C"/>
    <w:rsid w:val="003A0D91"/>
    <w:rsid w:val="003F3D22"/>
    <w:rsid w:val="004065A3"/>
    <w:rsid w:val="004C049C"/>
    <w:rsid w:val="005E2DEF"/>
    <w:rsid w:val="00614292"/>
    <w:rsid w:val="00637ABC"/>
    <w:rsid w:val="00646AED"/>
    <w:rsid w:val="00676FA7"/>
    <w:rsid w:val="006C0FFF"/>
    <w:rsid w:val="006C4BD2"/>
    <w:rsid w:val="007209CF"/>
    <w:rsid w:val="00734227"/>
    <w:rsid w:val="00784C95"/>
    <w:rsid w:val="007B5329"/>
    <w:rsid w:val="007D3607"/>
    <w:rsid w:val="007D74E9"/>
    <w:rsid w:val="0084712D"/>
    <w:rsid w:val="00884346"/>
    <w:rsid w:val="008C5AE0"/>
    <w:rsid w:val="009115FE"/>
    <w:rsid w:val="00953621"/>
    <w:rsid w:val="009558FE"/>
    <w:rsid w:val="00975DCB"/>
    <w:rsid w:val="009C3328"/>
    <w:rsid w:val="00A20B75"/>
    <w:rsid w:val="00AD1AAF"/>
    <w:rsid w:val="00B72668"/>
    <w:rsid w:val="00CB2C3D"/>
    <w:rsid w:val="00E44D73"/>
    <w:rsid w:val="00EA64A7"/>
    <w:rsid w:val="00EE1DAB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4:docId w14:val="72174566"/>
  <w15:chartTrackingRefBased/>
  <w15:docId w15:val="{BDB35482-A448-41E3-9981-50A9D535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framePr w:w="2053" w:h="3459" w:hSpace="181" w:wrap="around" w:vAnchor="page" w:hAnchor="page" w:x="8642" w:y="1297"/>
      <w:spacing w:after="240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spacing w:before="60"/>
      <w:jc w:val="right"/>
      <w:outlineLvl w:val="5"/>
    </w:pPr>
    <w:rPr>
      <w:rFonts w:ascii="Tahoma" w:hAnsi="Tahoma" w:cs="Tahoma"/>
      <w:b/>
      <w:sz w:val="18"/>
    </w:rPr>
  </w:style>
  <w:style w:type="paragraph" w:styleId="Heading7">
    <w:name w:val="heading 7"/>
    <w:basedOn w:val="Normal"/>
    <w:next w:val="Normal"/>
    <w:qFormat/>
    <w:pPr>
      <w:keepNext/>
      <w:spacing w:before="60"/>
      <w:outlineLvl w:val="6"/>
    </w:pPr>
    <w:rPr>
      <w:rFonts w:ascii="Tahoma" w:hAnsi="Tahoma" w:cs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pPr>
      <w:tabs>
        <w:tab w:val="left" w:pos="864"/>
      </w:tabs>
      <w:spacing w:line="360" w:lineRule="auto"/>
      <w:jc w:val="center"/>
    </w:pPr>
    <w:rPr>
      <w:caps/>
      <w:noProof/>
    </w:rPr>
  </w:style>
  <w:style w:type="paragraph" w:customStyle="1" w:styleId="To">
    <w:name w:val="To"/>
    <w:basedOn w:val="Normal"/>
    <w:pPr>
      <w:jc w:val="left"/>
    </w:pPr>
    <w:rPr>
      <w:sz w:val="28"/>
    </w:rPr>
  </w:style>
  <w:style w:type="paragraph" w:customStyle="1" w:styleId="ToCompany">
    <w:name w:val="ToCompany"/>
    <w:basedOn w:val="Normal"/>
    <w:pPr>
      <w:jc w:val="left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7209CF"/>
    <w:pPr>
      <w:ind w:left="720"/>
      <w:contextualSpacing/>
    </w:pPr>
  </w:style>
  <w:style w:type="table" w:styleId="TableGrid">
    <w:name w:val="Table Grid"/>
    <w:basedOn w:val="TableNormal"/>
    <w:rsid w:val="0072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_aplikacija\Chato\Rac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E92E-0AB6-452C-A190-C6DD3646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Racun.dot</Template>
  <TotalTime>8</TotalTime>
  <Pages>1</Pages>
  <Words>259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R-1</vt:lpstr>
    </vt:vector>
  </TitlesOfParts>
  <Company>I.C.F. d.o.o.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R-1</dc:title>
  <dc:subject/>
  <dc:creator>-</dc:creator>
  <cp:keywords/>
  <cp:lastModifiedBy>Hrvoje Rajić</cp:lastModifiedBy>
  <cp:revision>5</cp:revision>
  <cp:lastPrinted>1998-01-29T14:44:00Z</cp:lastPrinted>
  <dcterms:created xsi:type="dcterms:W3CDTF">2023-11-02T11:19:00Z</dcterms:created>
  <dcterms:modified xsi:type="dcterms:W3CDTF">2023-11-08T08:02:00Z</dcterms:modified>
</cp:coreProperties>
</file>