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3" w:rsidRPr="0084712D" w:rsidRDefault="004065A3">
      <w:pPr>
        <w:pStyle w:val="Heading5"/>
        <w:framePr w:w="344" w:h="549" w:wrap="around" w:x="10165" w:y="3065"/>
        <w:rPr>
          <w:rFonts w:ascii="Tahoma" w:hAnsi="Tahoma" w:cs="Tahoma"/>
          <w:b w:val="0"/>
          <w:bCs/>
          <w:sz w:val="20"/>
        </w:rPr>
      </w:pPr>
      <w:bookmarkStart w:id="0" w:name="R1"/>
      <w:bookmarkEnd w:id="0"/>
    </w:p>
    <w:p w:rsidR="004065A3" w:rsidRPr="0084712D" w:rsidRDefault="004065A3">
      <w:pPr>
        <w:ind w:left="-142" w:firstLine="142"/>
        <w:rPr>
          <w:rFonts w:ascii="Tahoma" w:hAnsi="Tahoma" w:cs="Tahoma"/>
        </w:rPr>
      </w:pPr>
      <w:bookmarkStart w:id="1" w:name="TVRTKA"/>
      <w:bookmarkEnd w:id="1"/>
    </w:p>
    <w:p w:rsidR="004065A3" w:rsidRDefault="004065A3">
      <w:pPr>
        <w:ind w:left="-142" w:firstLine="142"/>
        <w:rPr>
          <w:rFonts w:ascii="Tahoma" w:hAnsi="Tahoma" w:cs="Tahoma"/>
        </w:rPr>
      </w:pPr>
      <w:bookmarkStart w:id="2" w:name="ADRESA"/>
      <w:bookmarkEnd w:id="2"/>
    </w:p>
    <w:p w:rsidR="00646AED" w:rsidRDefault="00646AED">
      <w:pPr>
        <w:ind w:left="-142" w:firstLine="142"/>
        <w:rPr>
          <w:rFonts w:ascii="Tahoma" w:hAnsi="Tahoma" w:cs="Tahoma"/>
        </w:rPr>
      </w:pPr>
    </w:p>
    <w:p w:rsidR="004065A3" w:rsidRPr="0084712D" w:rsidRDefault="004065A3">
      <w:pPr>
        <w:ind w:left="-142" w:firstLine="142"/>
        <w:rPr>
          <w:rFonts w:ascii="Tahoma" w:hAnsi="Tahoma" w:cs="Tahoma"/>
        </w:rPr>
      </w:pPr>
    </w:p>
    <w:p w:rsidR="004065A3" w:rsidRPr="0084712D" w:rsidRDefault="00CB2C3D">
      <w:pPr>
        <w:jc w:val="left"/>
        <w:rPr>
          <w:rFonts w:ascii="Tahoma" w:hAnsi="Tahoma" w:cs="Tahoma"/>
          <w:b/>
          <w:sz w:val="36"/>
        </w:rPr>
      </w:pPr>
      <w:bookmarkStart w:id="3" w:name="BROJRN"/>
      <w:bookmarkEnd w:id="3"/>
      <w:r>
        <w:rPr>
          <w:rFonts w:ascii="Tahoma" w:hAnsi="Tahoma" w:cs="Tahoma"/>
          <w:b/>
          <w:sz w:val="36"/>
        </w:rPr>
        <w:t xml:space="preserve">Cjenik i uvjeti korištenja </w:t>
      </w:r>
      <w:r w:rsidR="00513E61">
        <w:rPr>
          <w:rFonts w:ascii="Tahoma" w:hAnsi="Tahoma" w:cs="Tahoma"/>
          <w:b/>
          <w:sz w:val="36"/>
        </w:rPr>
        <w:t>diskovnog prostora u aplikaciji Chato</w:t>
      </w:r>
    </w:p>
    <w:p w:rsidR="004065A3" w:rsidRPr="006C0FFF" w:rsidRDefault="004065A3">
      <w:pPr>
        <w:jc w:val="left"/>
        <w:rPr>
          <w:rFonts w:ascii="Tahoma" w:hAnsi="Tahoma" w:cs="Tahoma"/>
          <w:sz w:val="28"/>
        </w:rPr>
      </w:pPr>
    </w:p>
    <w:p w:rsidR="00EE1DAB" w:rsidRDefault="007209CF" w:rsidP="00EE1DAB">
      <w:pPr>
        <w:tabs>
          <w:tab w:val="left" w:pos="3559"/>
        </w:tabs>
        <w:jc w:val="left"/>
        <w:rPr>
          <w:rFonts w:ascii="Tahoma" w:hAnsi="Tahoma" w:cs="Tahoma"/>
          <w:sz w:val="20"/>
        </w:rPr>
      </w:pPr>
      <w:bookmarkStart w:id="4" w:name="lblIzdavanje"/>
      <w:bookmarkEnd w:id="4"/>
      <w:r>
        <w:rPr>
          <w:rFonts w:ascii="Tahoma" w:hAnsi="Tahoma" w:cs="Tahoma"/>
          <w:sz w:val="20"/>
        </w:rPr>
        <w:t xml:space="preserve">U ovom dokumentu su definirane </w:t>
      </w:r>
      <w:r w:rsidR="00CB2C3D">
        <w:rPr>
          <w:rFonts w:ascii="Tahoma" w:hAnsi="Tahoma" w:cs="Tahoma"/>
          <w:sz w:val="20"/>
        </w:rPr>
        <w:t xml:space="preserve">cijene i uvjeti korištenja </w:t>
      </w:r>
      <w:r w:rsidR="00513E61">
        <w:rPr>
          <w:rFonts w:ascii="Tahoma" w:hAnsi="Tahoma" w:cs="Tahoma"/>
          <w:sz w:val="20"/>
        </w:rPr>
        <w:t>diskovnog prostora</w:t>
      </w:r>
      <w:r>
        <w:rPr>
          <w:rFonts w:ascii="Tahoma" w:hAnsi="Tahoma" w:cs="Tahoma"/>
          <w:sz w:val="20"/>
        </w:rPr>
        <w:t>:</w:t>
      </w:r>
    </w:p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tbl>
      <w:tblPr>
        <w:tblStyle w:val="TableGrid"/>
        <w:tblW w:w="8925" w:type="dxa"/>
        <w:tblLook w:val="04A0" w:firstRow="1" w:lastRow="0" w:firstColumn="1" w:lastColumn="0" w:noHBand="0" w:noVBand="1"/>
      </w:tblPr>
      <w:tblGrid>
        <w:gridCol w:w="860"/>
        <w:gridCol w:w="3246"/>
        <w:gridCol w:w="1559"/>
        <w:gridCol w:w="1559"/>
        <w:gridCol w:w="1701"/>
      </w:tblGrid>
      <w:tr w:rsidR="00513E61" w:rsidTr="00513E61">
        <w:tc>
          <w:tcPr>
            <w:tcW w:w="860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Red.br.</w:t>
            </w:r>
          </w:p>
        </w:tc>
        <w:tc>
          <w:tcPr>
            <w:tcW w:w="3246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Opis</w:t>
            </w:r>
          </w:p>
        </w:tc>
        <w:tc>
          <w:tcPr>
            <w:tcW w:w="1559" w:type="dxa"/>
          </w:tcPr>
          <w:p w:rsidR="00513E61" w:rsidRDefault="00513E61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Količina [MB]</w:t>
            </w:r>
          </w:p>
        </w:tc>
        <w:tc>
          <w:tcPr>
            <w:tcW w:w="1559" w:type="dxa"/>
          </w:tcPr>
          <w:p w:rsidR="00513E61" w:rsidRDefault="00513E61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Jedinica mjere</w:t>
            </w:r>
          </w:p>
        </w:tc>
        <w:tc>
          <w:tcPr>
            <w:tcW w:w="1701" w:type="dxa"/>
          </w:tcPr>
          <w:p w:rsidR="00513E61" w:rsidRDefault="00513E61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Iznos</w:t>
            </w:r>
          </w:p>
        </w:tc>
      </w:tr>
      <w:tr w:rsidR="00513E61" w:rsidTr="00513E61">
        <w:tc>
          <w:tcPr>
            <w:tcW w:w="860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</w:t>
            </w:r>
          </w:p>
        </w:tc>
        <w:tc>
          <w:tcPr>
            <w:tcW w:w="3246" w:type="dxa"/>
          </w:tcPr>
          <w:p w:rsidR="00513E61" w:rsidRDefault="00513E61" w:rsidP="00CB2C3D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Paket „Start“ </w:t>
            </w:r>
          </w:p>
        </w:tc>
        <w:tc>
          <w:tcPr>
            <w:tcW w:w="1559" w:type="dxa"/>
          </w:tcPr>
          <w:p w:rsidR="00513E61" w:rsidRDefault="00513E61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64</w:t>
            </w:r>
          </w:p>
        </w:tc>
        <w:tc>
          <w:tcPr>
            <w:tcW w:w="1559" w:type="dxa"/>
          </w:tcPr>
          <w:p w:rsidR="00513E61" w:rsidRDefault="00513E61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513E61" w:rsidRDefault="00513E61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Bez naknade</w:t>
            </w:r>
          </w:p>
        </w:tc>
      </w:tr>
      <w:tr w:rsidR="00513E61" w:rsidTr="00513E61">
        <w:tc>
          <w:tcPr>
            <w:tcW w:w="860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2</w:t>
            </w:r>
          </w:p>
        </w:tc>
        <w:tc>
          <w:tcPr>
            <w:tcW w:w="3246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Paket „</w:t>
            </w:r>
            <w:proofErr w:type="spellStart"/>
            <w:r>
              <w:rPr>
                <w:rFonts w:ascii="Tahoma" w:hAnsi="Tahoma" w:cs="Tahoma"/>
                <w:sz w:val="20"/>
              </w:rPr>
              <w:t>Small</w:t>
            </w:r>
            <w:proofErr w:type="spellEnd"/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559" w:type="dxa"/>
          </w:tcPr>
          <w:p w:rsidR="00513E61" w:rsidRDefault="00513E61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 xml:space="preserve">Do 256 </w:t>
            </w:r>
          </w:p>
        </w:tc>
        <w:tc>
          <w:tcPr>
            <w:tcW w:w="1559" w:type="dxa"/>
          </w:tcPr>
          <w:p w:rsidR="00513E61" w:rsidRDefault="00513E61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513E61" w:rsidRDefault="00513E61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10,00 EUR</w:t>
            </w:r>
          </w:p>
        </w:tc>
      </w:tr>
      <w:tr w:rsidR="00513E61" w:rsidTr="00513E61">
        <w:tc>
          <w:tcPr>
            <w:tcW w:w="860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</w:t>
            </w:r>
          </w:p>
        </w:tc>
        <w:tc>
          <w:tcPr>
            <w:tcW w:w="3246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Paket „Medo“</w:t>
            </w:r>
          </w:p>
        </w:tc>
        <w:tc>
          <w:tcPr>
            <w:tcW w:w="1559" w:type="dxa"/>
          </w:tcPr>
          <w:p w:rsidR="00513E61" w:rsidRDefault="00513E61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512</w:t>
            </w:r>
          </w:p>
        </w:tc>
        <w:tc>
          <w:tcPr>
            <w:tcW w:w="1559" w:type="dxa"/>
          </w:tcPr>
          <w:p w:rsidR="00513E61" w:rsidRDefault="00513E61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513E61" w:rsidRDefault="00513E61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17,00 EUR</w:t>
            </w:r>
          </w:p>
        </w:tc>
      </w:tr>
      <w:tr w:rsidR="00513E61" w:rsidTr="00513E61">
        <w:tc>
          <w:tcPr>
            <w:tcW w:w="860" w:type="dxa"/>
          </w:tcPr>
          <w:p w:rsidR="00513E61" w:rsidRDefault="00513E61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4</w:t>
            </w:r>
          </w:p>
        </w:tc>
        <w:tc>
          <w:tcPr>
            <w:tcW w:w="3246" w:type="dxa"/>
          </w:tcPr>
          <w:p w:rsidR="00513E61" w:rsidRDefault="00513E61" w:rsidP="00CB2C3D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Paket „</w:t>
            </w:r>
            <w:proofErr w:type="spellStart"/>
            <w:r>
              <w:rPr>
                <w:rFonts w:ascii="Tahoma" w:hAnsi="Tahoma" w:cs="Tahoma"/>
                <w:sz w:val="20"/>
              </w:rPr>
              <w:t>Opti</w:t>
            </w:r>
            <w:proofErr w:type="spellEnd"/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559" w:type="dxa"/>
          </w:tcPr>
          <w:p w:rsidR="00513E61" w:rsidRDefault="00513E61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1.024</w:t>
            </w:r>
          </w:p>
        </w:tc>
        <w:tc>
          <w:tcPr>
            <w:tcW w:w="1559" w:type="dxa"/>
          </w:tcPr>
          <w:p w:rsidR="00513E61" w:rsidRDefault="00513E61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513E61" w:rsidRDefault="00B263AE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30</w:t>
            </w:r>
            <w:r w:rsidR="00513E61">
              <w:rPr>
                <w:rFonts w:ascii="Tahoma" w:hAnsi="Tahoma" w:cs="Tahoma"/>
                <w:sz w:val="20"/>
              </w:rPr>
              <w:t>,00 EUR</w:t>
            </w:r>
          </w:p>
        </w:tc>
      </w:tr>
      <w:tr w:rsidR="00B263AE" w:rsidTr="00513E61">
        <w:tc>
          <w:tcPr>
            <w:tcW w:w="860" w:type="dxa"/>
          </w:tcPr>
          <w:p w:rsidR="00B263AE" w:rsidRDefault="00B263AE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</w:t>
            </w:r>
          </w:p>
        </w:tc>
        <w:tc>
          <w:tcPr>
            <w:tcW w:w="3246" w:type="dxa"/>
          </w:tcPr>
          <w:p w:rsidR="00B263AE" w:rsidRDefault="00B263AE" w:rsidP="00CB2C3D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Paket „Grande“</w:t>
            </w:r>
          </w:p>
        </w:tc>
        <w:tc>
          <w:tcPr>
            <w:tcW w:w="1559" w:type="dxa"/>
          </w:tcPr>
          <w:p w:rsidR="00B263AE" w:rsidRDefault="00B263AE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2.048</w:t>
            </w:r>
          </w:p>
        </w:tc>
        <w:tc>
          <w:tcPr>
            <w:tcW w:w="1559" w:type="dxa"/>
          </w:tcPr>
          <w:p w:rsidR="00B263AE" w:rsidRDefault="00B263AE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B263AE" w:rsidRDefault="00B263AE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55,00 EUR</w:t>
            </w:r>
          </w:p>
        </w:tc>
      </w:tr>
      <w:tr w:rsidR="00B263AE" w:rsidTr="00513E61">
        <w:tc>
          <w:tcPr>
            <w:tcW w:w="860" w:type="dxa"/>
          </w:tcPr>
          <w:p w:rsidR="00B263AE" w:rsidRDefault="00B263AE" w:rsidP="007209CF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6</w:t>
            </w:r>
          </w:p>
        </w:tc>
        <w:tc>
          <w:tcPr>
            <w:tcW w:w="3246" w:type="dxa"/>
          </w:tcPr>
          <w:p w:rsidR="00B263AE" w:rsidRDefault="00B263AE" w:rsidP="00CB2C3D">
            <w:pPr>
              <w:tabs>
                <w:tab w:val="left" w:pos="3559"/>
              </w:tabs>
              <w:jc w:val="lef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Paket „</w:t>
            </w:r>
            <w:proofErr w:type="spellStart"/>
            <w:r>
              <w:rPr>
                <w:rFonts w:ascii="Tahoma" w:hAnsi="Tahoma" w:cs="Tahoma"/>
                <w:sz w:val="20"/>
              </w:rPr>
              <w:t>Exclusive</w:t>
            </w:r>
            <w:proofErr w:type="spellEnd"/>
            <w:r>
              <w:rPr>
                <w:rFonts w:ascii="Tahoma" w:hAnsi="Tahoma" w:cs="Tahoma"/>
                <w:sz w:val="20"/>
              </w:rPr>
              <w:t>“</w:t>
            </w:r>
          </w:p>
        </w:tc>
        <w:tc>
          <w:tcPr>
            <w:tcW w:w="1559" w:type="dxa"/>
          </w:tcPr>
          <w:p w:rsidR="00B263AE" w:rsidRDefault="00B263AE" w:rsidP="00513E61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Do 4.096</w:t>
            </w:r>
          </w:p>
        </w:tc>
        <w:tc>
          <w:tcPr>
            <w:tcW w:w="1559" w:type="dxa"/>
          </w:tcPr>
          <w:p w:rsidR="00B263AE" w:rsidRDefault="00B263AE" w:rsidP="00CB2C3D">
            <w:pPr>
              <w:tabs>
                <w:tab w:val="left" w:pos="3559"/>
              </w:tabs>
              <w:jc w:val="center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 mjesec</w:t>
            </w:r>
          </w:p>
        </w:tc>
        <w:tc>
          <w:tcPr>
            <w:tcW w:w="1701" w:type="dxa"/>
          </w:tcPr>
          <w:p w:rsidR="00B263AE" w:rsidRDefault="00B263AE" w:rsidP="00CB2C3D">
            <w:pPr>
              <w:tabs>
                <w:tab w:val="left" w:pos="3559"/>
              </w:tabs>
              <w:jc w:val="right"/>
              <w:rPr>
                <w:rFonts w:ascii="Tahoma" w:hAnsi="Tahoma" w:cs="Tahoma"/>
                <w:sz w:val="20"/>
              </w:rPr>
            </w:pPr>
            <w:r>
              <w:rPr>
                <w:rFonts w:ascii="Tahoma" w:hAnsi="Tahoma" w:cs="Tahoma"/>
                <w:sz w:val="20"/>
              </w:rPr>
              <w:t>100,00 EUR</w:t>
            </w:r>
          </w:p>
        </w:tc>
      </w:tr>
    </w:tbl>
    <w:p w:rsidR="007209CF" w:rsidRDefault="007209CF" w:rsidP="007209CF">
      <w:pPr>
        <w:tabs>
          <w:tab w:val="left" w:pos="3559"/>
        </w:tabs>
        <w:jc w:val="left"/>
        <w:rPr>
          <w:rFonts w:ascii="Tahoma" w:hAnsi="Tahoma" w:cs="Tahoma"/>
          <w:sz w:val="20"/>
        </w:rPr>
      </w:pPr>
    </w:p>
    <w:p w:rsidR="003665CC" w:rsidRDefault="00244A49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Mjesečna c</w:t>
      </w:r>
      <w:r w:rsidR="003665CC">
        <w:rPr>
          <w:rFonts w:ascii="Tahoma" w:hAnsi="Tahoma" w:cs="Tahoma"/>
          <w:sz w:val="20"/>
        </w:rPr>
        <w:t xml:space="preserve">ijena navedena za korištenje diskovnog prostora vrijedi godinu dana od početka korištenja usluge </w:t>
      </w:r>
      <w:r>
        <w:rPr>
          <w:rFonts w:ascii="Tahoma" w:hAnsi="Tahoma" w:cs="Tahoma"/>
          <w:sz w:val="20"/>
        </w:rPr>
        <w:t xml:space="preserve">(bez obzira na eventualne promjene cjenika) </w:t>
      </w:r>
      <w:bookmarkStart w:id="5" w:name="_GoBack"/>
      <w:bookmarkEnd w:id="5"/>
      <w:r w:rsidR="003665CC">
        <w:rPr>
          <w:rFonts w:ascii="Tahoma" w:hAnsi="Tahoma" w:cs="Tahoma"/>
          <w:sz w:val="20"/>
        </w:rPr>
        <w:t xml:space="preserve">i produžuje se na slijedeću godinu automatski nastavkom korištenja usluge. </w:t>
      </w:r>
    </w:p>
    <w:p w:rsidR="003665CC" w:rsidRDefault="003665CC" w:rsidP="00614292">
      <w:pPr>
        <w:tabs>
          <w:tab w:val="left" w:pos="3559"/>
        </w:tabs>
        <w:rPr>
          <w:rFonts w:ascii="Tahoma" w:hAnsi="Tahoma" w:cs="Tahoma"/>
          <w:sz w:val="20"/>
        </w:rPr>
      </w:pPr>
    </w:p>
    <w:p w:rsidR="003665CC" w:rsidRDefault="003665CC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Kupac može povećavati kapacitet zakupom novog paketa s većim kapacitetom. Izmjena će se realizirati u roku od maksimalno 5 radnih dana. </w:t>
      </w:r>
    </w:p>
    <w:p w:rsidR="003665CC" w:rsidRDefault="003665CC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 </w:t>
      </w:r>
    </w:p>
    <w:p w:rsidR="003665CC" w:rsidRDefault="003665CC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Ukoliko kupac želi otkazati postojeći paket, može to učiniti u bilo kojem trenutku, s otkaznim rokom od mjesec dana s dodatkom dana do kraja tako obračunatog mjeseca. Unutar otkaznog roka kupac može koristiti diskovni prostor na redovan način, a istekom otkaznog roka IPT će kupcu vratiti sve dokumente na nači</w:t>
      </w:r>
      <w:r w:rsidR="00DF4D59">
        <w:rPr>
          <w:rFonts w:ascii="Tahoma" w:hAnsi="Tahoma" w:cs="Tahoma"/>
          <w:sz w:val="20"/>
        </w:rPr>
        <w:t>n da će isti biti dostupni kupcu</w:t>
      </w:r>
      <w:r>
        <w:rPr>
          <w:rFonts w:ascii="Tahoma" w:hAnsi="Tahoma" w:cs="Tahoma"/>
          <w:sz w:val="20"/>
        </w:rPr>
        <w:t xml:space="preserve"> za preuzimanje kao arhiva. Unutar aplikacije Chato dokumenti koji su zauzimali diskovni prostor više neće postojati.</w:t>
      </w:r>
    </w:p>
    <w:p w:rsidR="003665CC" w:rsidRDefault="003665CC" w:rsidP="00614292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614292">
      <w:pPr>
        <w:tabs>
          <w:tab w:val="left" w:pos="3559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Kupac može tražiti i dobiti na uvid ovaj cjenik prije pružanja usluga, ali IPT nije dužan dati ga osobno kupcu</w:t>
      </w:r>
      <w:r w:rsidR="004C049C">
        <w:rPr>
          <w:rFonts w:ascii="Tahoma" w:hAnsi="Tahoma" w:cs="Tahoma"/>
          <w:sz w:val="20"/>
        </w:rPr>
        <w:t xml:space="preserve"> bez prethodnog kupčevog zahtjeva</w:t>
      </w:r>
      <w:r>
        <w:rPr>
          <w:rFonts w:ascii="Tahoma" w:hAnsi="Tahoma" w:cs="Tahoma"/>
          <w:sz w:val="20"/>
        </w:rPr>
        <w:t>, obzirom da je isti objavljen na web stranicama IPT-a.</w:t>
      </w: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14292" w:rsidRDefault="00614292" w:rsidP="00053EC1">
      <w:pPr>
        <w:tabs>
          <w:tab w:val="left" w:pos="3559"/>
        </w:tabs>
        <w:rPr>
          <w:rFonts w:ascii="Tahoma" w:hAnsi="Tahoma" w:cs="Tahoma"/>
          <w:sz w:val="20"/>
        </w:rPr>
      </w:pPr>
    </w:p>
    <w:p w:rsidR="00646AED" w:rsidRDefault="00CB2C3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U Zagrebu, 01.12</w:t>
      </w:r>
      <w:r w:rsidR="003A0D91">
        <w:rPr>
          <w:rFonts w:ascii="Tahoma" w:hAnsi="Tahoma" w:cs="Tahoma"/>
          <w:sz w:val="20"/>
        </w:rPr>
        <w:t>.2023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1032510</wp:posOffset>
            </wp:positionH>
            <wp:positionV relativeFrom="paragraph">
              <wp:posOffset>6985</wp:posOffset>
            </wp:positionV>
            <wp:extent cx="1818000" cy="12960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PT-Transparent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8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ahoma" w:hAnsi="Tahoma" w:cs="Tahoma"/>
          <w:noProof/>
          <w:sz w:val="20"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57300" cy="504146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Hrvoje Rajić potpis transparent (5,5 cm x 2,5 cm)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5041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BC" w:rsidRDefault="00637ABC" w:rsidP="00646AED">
      <w:pPr>
        <w:shd w:val="solid" w:color="FFFFFF" w:fill="FFFFFF"/>
        <w:rPr>
          <w:rFonts w:ascii="Tahoma" w:hAnsi="Tahoma" w:cs="Tahoma"/>
          <w:sz w:val="20"/>
        </w:rPr>
      </w:pPr>
    </w:p>
    <w:p w:rsidR="00646AED" w:rsidRDefault="00637ABC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___________________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Hrvoje Rajić,</w:t>
      </w:r>
    </w:p>
    <w:p w:rsidR="00646AED" w:rsidRDefault="00646AED" w:rsidP="00646AED">
      <w:pPr>
        <w:shd w:val="solid" w:color="FFFFFF" w:fill="FFFFFF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Član Uprave</w:t>
      </w:r>
    </w:p>
    <w:p w:rsidR="00646AED" w:rsidRPr="00884346" w:rsidRDefault="00646AED" w:rsidP="00884346">
      <w:pPr>
        <w:tabs>
          <w:tab w:val="left" w:pos="3559"/>
        </w:tabs>
        <w:rPr>
          <w:rFonts w:ascii="Tahoma" w:hAnsi="Tahoma" w:cs="Tahoma"/>
          <w:sz w:val="20"/>
        </w:rPr>
      </w:pPr>
    </w:p>
    <w:sectPr w:rsidR="00646AED" w:rsidRPr="008843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7" w:h="16840" w:code="9"/>
      <w:pgMar w:top="2410" w:right="1134" w:bottom="1701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65F" w:rsidRDefault="00CE665F">
      <w:r>
        <w:separator/>
      </w:r>
    </w:p>
  </w:endnote>
  <w:endnote w:type="continuationSeparator" w:id="0">
    <w:p w:rsidR="00CE665F" w:rsidRDefault="00CE6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Footer"/>
      <w:spacing w:before="6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r>
      <w:rPr>
        <w:noProof/>
        <w:sz w:val="20"/>
        <w:lang w:eastAsia="hr-H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12065</wp:posOffset>
              </wp:positionH>
              <wp:positionV relativeFrom="paragraph">
                <wp:posOffset>-39370</wp:posOffset>
              </wp:positionV>
              <wp:extent cx="5995035" cy="0"/>
              <wp:effectExtent l="0" t="0" r="0" b="0"/>
              <wp:wrapNone/>
              <wp:docPr id="2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9503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D43A01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-3.1pt" to="473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" o:allowincell="f" strokeweight="1pt"/>
          </w:pict>
        </mc:Fallback>
      </mc:AlternateContent>
    </w:r>
  </w:p>
  <w:p w:rsidR="004065A3" w:rsidRDefault="004065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65F" w:rsidRDefault="00CE665F">
      <w:r>
        <w:separator/>
      </w:r>
    </w:p>
  </w:footnote>
  <w:footnote w:type="continuationSeparator" w:id="0">
    <w:p w:rsidR="00CE665F" w:rsidRDefault="00CE66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58FE" w:rsidRDefault="009558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4065A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37ABC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65A3" w:rsidRDefault="00175D4F">
    <w:pPr>
      <w:pStyle w:val="Header"/>
      <w:jc w:val="right"/>
    </w:pPr>
    <w:r>
      <w:rPr>
        <w:noProof/>
        <w:sz w:val="20"/>
        <w:lang w:eastAsia="hr-HR"/>
      </w:rPr>
      <w:drawing>
        <wp:inline distT="0" distB="0" distL="0" distR="0">
          <wp:extent cx="1094740" cy="6762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74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065A3" w:rsidRDefault="004065A3">
    <w:pPr>
      <w:pBdr>
        <w:top w:val="single" w:sz="6" w:space="1" w:color="auto"/>
      </w:pBdr>
      <w:ind w:right="1841"/>
      <w:rPr>
        <w:rFonts w:ascii="Arial" w:hAnsi="Arial"/>
        <w:sz w:val="4"/>
      </w:rPr>
    </w:pP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 xml:space="preserve">10000 </w:t>
    </w:r>
    <w:smartTag w:uri="urn:schemas-microsoft-com:office:smarttags" w:element="place">
      <w:smartTag w:uri="urn:schemas-microsoft-com:office:smarttags" w:element="City">
        <w:r>
          <w:rPr>
            <w:rFonts w:ascii="Arial" w:hAnsi="Arial"/>
            <w:sz w:val="18"/>
          </w:rPr>
          <w:t>Zagreb</w:t>
        </w:r>
      </w:smartTag>
      <w:r>
        <w:rPr>
          <w:rFonts w:ascii="Arial" w:hAnsi="Arial"/>
          <w:sz w:val="18"/>
        </w:rPr>
        <w:t xml:space="preserve">, </w:t>
      </w:r>
      <w:smartTag w:uri="urn:schemas-microsoft-com:office:smarttags" w:element="country-region">
        <w:r>
          <w:rPr>
            <w:rFonts w:ascii="Arial" w:hAnsi="Arial"/>
            <w:sz w:val="18"/>
          </w:rPr>
          <w:t>CROATIA</w:t>
        </w:r>
      </w:smartTag>
    </w:smartTag>
  </w:p>
  <w:p w:rsidR="004065A3" w:rsidRDefault="00FF58FF">
    <w:pPr>
      <w:tabs>
        <w:tab w:val="right" w:pos="9214"/>
      </w:tabs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Miramarska 24</w:t>
    </w:r>
  </w:p>
  <w:p w:rsidR="004065A3" w:rsidRDefault="004065A3">
    <w:pPr>
      <w:tabs>
        <w:tab w:val="right" w:pos="9214"/>
      </w:tabs>
      <w:jc w:val="right"/>
      <w:rPr>
        <w:rFonts w:ascii="Arial" w:hAnsi="Arial"/>
        <w:sz w:val="18"/>
      </w:rPr>
    </w:pPr>
    <w:proofErr w:type="spellStart"/>
    <w:r>
      <w:rPr>
        <w:rFonts w:ascii="Arial" w:hAnsi="Arial"/>
        <w:sz w:val="18"/>
      </w:rPr>
      <w:t>tel</w:t>
    </w:r>
    <w:proofErr w:type="spellEnd"/>
    <w:r>
      <w:rPr>
        <w:rFonts w:ascii="Arial" w:hAnsi="Arial"/>
        <w:sz w:val="18"/>
      </w:rPr>
      <w:t xml:space="preserve">: +385 (01) </w:t>
    </w:r>
    <w:r w:rsidR="00FF58FF">
      <w:rPr>
        <w:rFonts w:ascii="Arial" w:hAnsi="Arial"/>
        <w:sz w:val="18"/>
      </w:rPr>
      <w:t>600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05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fax: +385 (01) 6</w:t>
    </w:r>
    <w:r w:rsidR="00FF58FF">
      <w:rPr>
        <w:rFonts w:ascii="Arial" w:hAnsi="Arial"/>
        <w:sz w:val="18"/>
      </w:rPr>
      <w:t>00</w:t>
    </w:r>
    <w:r>
      <w:rPr>
        <w:rFonts w:ascii="Arial" w:hAnsi="Arial"/>
        <w:sz w:val="18"/>
      </w:rPr>
      <w:t xml:space="preserve"> </w:t>
    </w:r>
    <w:r w:rsidR="00FF58FF">
      <w:rPr>
        <w:rFonts w:ascii="Arial" w:hAnsi="Arial"/>
        <w:sz w:val="18"/>
      </w:rPr>
      <w:t>56</w:t>
    </w:r>
    <w:r>
      <w:rPr>
        <w:rFonts w:ascii="Arial" w:hAnsi="Arial"/>
        <w:sz w:val="18"/>
      </w:rPr>
      <w:t xml:space="preserve"> 0</w:t>
    </w:r>
    <w:r w:rsidR="00FF58FF">
      <w:rPr>
        <w:rFonts w:ascii="Arial" w:hAnsi="Arial"/>
        <w:sz w:val="18"/>
      </w:rPr>
      <w:t>6</w:t>
    </w:r>
  </w:p>
  <w:p w:rsidR="004065A3" w:rsidRDefault="004065A3">
    <w:pPr>
      <w:pStyle w:val="Header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http://www.ipt.hr</w:t>
    </w:r>
  </w:p>
  <w:p w:rsidR="004065A3" w:rsidRDefault="004065A3">
    <w:pPr>
      <w:pStyle w:val="Header"/>
      <w:jc w:val="right"/>
      <w:rPr>
        <w:lang w:val="fr-FR"/>
      </w:rPr>
    </w:pPr>
    <w:proofErr w:type="gramStart"/>
    <w:r>
      <w:rPr>
        <w:rFonts w:ascii="Arial" w:hAnsi="Arial"/>
        <w:sz w:val="18"/>
        <w:lang w:val="fr-FR"/>
      </w:rPr>
      <w:t>e-mail</w:t>
    </w:r>
    <w:proofErr w:type="gramEnd"/>
    <w:r>
      <w:rPr>
        <w:rFonts w:ascii="Arial" w:hAnsi="Arial"/>
        <w:sz w:val="18"/>
        <w:lang w:val="fr-FR"/>
      </w:rPr>
      <w:t>: ipt@ipt.hr</w:t>
    </w:r>
  </w:p>
  <w:p w:rsidR="004065A3" w:rsidRDefault="004065A3">
    <w:pPr>
      <w:pStyle w:val="Header"/>
      <w:rPr>
        <w:sz w:val="52"/>
        <w:lang w:val="fr-F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7257"/>
    <w:multiLevelType w:val="hybridMultilevel"/>
    <w:tmpl w:val="8486AF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D4F"/>
    <w:rsid w:val="00053EC1"/>
    <w:rsid w:val="000C4D8A"/>
    <w:rsid w:val="000F7FF8"/>
    <w:rsid w:val="00175D4F"/>
    <w:rsid w:val="001845BB"/>
    <w:rsid w:val="00244A49"/>
    <w:rsid w:val="00266B02"/>
    <w:rsid w:val="003045D9"/>
    <w:rsid w:val="003665CC"/>
    <w:rsid w:val="003A0D91"/>
    <w:rsid w:val="003F3D22"/>
    <w:rsid w:val="004065A3"/>
    <w:rsid w:val="004C049C"/>
    <w:rsid w:val="00513E61"/>
    <w:rsid w:val="005E2DEF"/>
    <w:rsid w:val="00614292"/>
    <w:rsid w:val="00637ABC"/>
    <w:rsid w:val="00646AED"/>
    <w:rsid w:val="00676FA7"/>
    <w:rsid w:val="006C0FFF"/>
    <w:rsid w:val="007209CF"/>
    <w:rsid w:val="00734227"/>
    <w:rsid w:val="00784C95"/>
    <w:rsid w:val="007B5329"/>
    <w:rsid w:val="007D3607"/>
    <w:rsid w:val="007D74E9"/>
    <w:rsid w:val="0084712D"/>
    <w:rsid w:val="00884346"/>
    <w:rsid w:val="008C5AE0"/>
    <w:rsid w:val="009115FE"/>
    <w:rsid w:val="00953621"/>
    <w:rsid w:val="009558FE"/>
    <w:rsid w:val="00975DCB"/>
    <w:rsid w:val="00A20B75"/>
    <w:rsid w:val="00AD1AAF"/>
    <w:rsid w:val="00B263AE"/>
    <w:rsid w:val="00B72668"/>
    <w:rsid w:val="00CB2C3D"/>
    <w:rsid w:val="00CE665F"/>
    <w:rsid w:val="00DF4D59"/>
    <w:rsid w:val="00E44D73"/>
    <w:rsid w:val="00EA64A7"/>
    <w:rsid w:val="00EE1DAB"/>
    <w:rsid w:val="00FF5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hapeDefaults>
    <o:shapedefaults v:ext="edit" spidmax="4097"/>
    <o:shapelayout v:ext="edit">
      <o:idmap v:ext="edit" data="1"/>
    </o:shapelayout>
  </w:shapeDefaults>
  <w:decimalSymbol w:val=","/>
  <w:listSeparator w:val=";"/>
  <w14:docId w14:val="77E23EA1"/>
  <w15:chartTrackingRefBased/>
  <w15:docId w15:val="{BDB35482-A448-41E3-9981-50A9D535D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pPr>
      <w:keepNext/>
      <w:spacing w:before="120" w:after="120"/>
      <w:jc w:val="center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keepNext/>
      <w:framePr w:w="2053" w:h="3459" w:hSpace="181" w:wrap="around" w:vAnchor="page" w:hAnchor="page" w:x="8642" w:y="1297"/>
      <w:spacing w:after="240"/>
      <w:outlineLvl w:val="4"/>
    </w:pPr>
    <w:rPr>
      <w:b/>
      <w:sz w:val="36"/>
    </w:rPr>
  </w:style>
  <w:style w:type="paragraph" w:styleId="Heading6">
    <w:name w:val="heading 6"/>
    <w:basedOn w:val="Normal"/>
    <w:next w:val="Normal"/>
    <w:qFormat/>
    <w:pPr>
      <w:keepNext/>
      <w:spacing w:before="60"/>
      <w:jc w:val="right"/>
      <w:outlineLvl w:val="5"/>
    </w:pPr>
    <w:rPr>
      <w:rFonts w:ascii="Tahoma" w:hAnsi="Tahoma" w:cs="Tahoma"/>
      <w:b/>
      <w:sz w:val="18"/>
    </w:rPr>
  </w:style>
  <w:style w:type="paragraph" w:styleId="Heading7">
    <w:name w:val="heading 7"/>
    <w:basedOn w:val="Normal"/>
    <w:next w:val="Normal"/>
    <w:qFormat/>
    <w:pPr>
      <w:keepNext/>
      <w:spacing w:before="60"/>
      <w:outlineLvl w:val="6"/>
    </w:pPr>
    <w:rPr>
      <w:rFonts w:ascii="Tahoma" w:hAnsi="Tahoma" w:cs="Tahoma"/>
      <w:b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pPr>
      <w:tabs>
        <w:tab w:val="left" w:pos="864"/>
      </w:tabs>
      <w:spacing w:line="360" w:lineRule="auto"/>
      <w:jc w:val="center"/>
    </w:pPr>
    <w:rPr>
      <w:caps/>
      <w:noProof/>
    </w:rPr>
  </w:style>
  <w:style w:type="paragraph" w:customStyle="1" w:styleId="To">
    <w:name w:val="To"/>
    <w:basedOn w:val="Normal"/>
    <w:pPr>
      <w:jc w:val="left"/>
    </w:pPr>
    <w:rPr>
      <w:sz w:val="28"/>
    </w:rPr>
  </w:style>
  <w:style w:type="paragraph" w:customStyle="1" w:styleId="ToCompany">
    <w:name w:val="ToCompany"/>
    <w:basedOn w:val="Normal"/>
    <w:pPr>
      <w:jc w:val="left"/>
    </w:pPr>
    <w:rPr>
      <w:sz w:val="2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ListParagraph">
    <w:name w:val="List Paragraph"/>
    <w:basedOn w:val="Normal"/>
    <w:uiPriority w:val="34"/>
    <w:qFormat/>
    <w:rsid w:val="007209CF"/>
    <w:pPr>
      <w:ind w:left="720"/>
      <w:contextualSpacing/>
    </w:pPr>
  </w:style>
  <w:style w:type="table" w:styleId="TableGrid">
    <w:name w:val="Table Grid"/>
    <w:basedOn w:val="TableNormal"/>
    <w:rsid w:val="007209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_aplikacija\Chato\Racu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6E93F-FF04-4D15-BFCD-8B91BA4C5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Racun.dot</Template>
  <TotalTime>1246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R-1</vt:lpstr>
    </vt:vector>
  </TitlesOfParts>
  <Company>I.C.F. d.o.o.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R-1</dc:title>
  <dc:subject/>
  <dc:creator>-</dc:creator>
  <cp:keywords/>
  <cp:lastModifiedBy>Hrvoje Rajić</cp:lastModifiedBy>
  <cp:revision>6</cp:revision>
  <cp:lastPrinted>1998-01-29T14:44:00Z</cp:lastPrinted>
  <dcterms:created xsi:type="dcterms:W3CDTF">2023-11-02T11:23:00Z</dcterms:created>
  <dcterms:modified xsi:type="dcterms:W3CDTF">2023-11-08T07:55:00Z</dcterms:modified>
</cp:coreProperties>
</file>